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C8896">
      <w:pPr>
        <w:pStyle w:val="2"/>
        <w:widowControl/>
        <w:spacing w:beforeAutospacing="0" w:afterAutospacing="0" w:line="360" w:lineRule="auto"/>
        <w:jc w:val="center"/>
        <w:rPr>
          <w:rFonts w:hint="default"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《人工智能与教育实践》第五章教学设计</w:t>
      </w:r>
    </w:p>
    <w:p w14:paraId="2E99B3AB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一、教学时数：</w:t>
      </w:r>
      <w:r>
        <w:rPr>
          <w:rFonts w:ascii="Times New Roman" w:hAnsi="Times New Roman"/>
          <w:b w:val="0"/>
          <w:bCs w:val="0"/>
          <w:sz w:val="24"/>
          <w:szCs w:val="24"/>
        </w:rPr>
        <w:t>4学时（2次课，每次2学时）</w:t>
      </w:r>
    </w:p>
    <w:p w14:paraId="2F28AB8B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二、授课题目：</w:t>
      </w:r>
      <w:r>
        <w:rPr>
          <w:rFonts w:ascii="Times New Roman" w:hAnsi="Times New Roman"/>
          <w:b w:val="0"/>
          <w:bCs w:val="0"/>
          <w:sz w:val="24"/>
          <w:szCs w:val="24"/>
        </w:rPr>
        <w:t>大模型为何能够重构人工智能范式——从</w:t>
      </w:r>
      <w:r>
        <w:rPr>
          <w:rFonts w:hint="eastAsia" w:ascii="Times New Roman" w:hAnsi="Times New Roman"/>
          <w:b w:val="0"/>
          <w:bCs w:val="0"/>
          <w:sz w:val="24"/>
          <w:szCs w:val="24"/>
          <w:lang w:eastAsia="zh-CN"/>
        </w:rPr>
        <w:t>“</w:t>
      </w:r>
      <w:r>
        <w:rPr>
          <w:rFonts w:ascii="Times New Roman" w:hAnsi="Times New Roman"/>
          <w:b w:val="0"/>
          <w:bCs w:val="0"/>
          <w:sz w:val="24"/>
          <w:szCs w:val="24"/>
        </w:rPr>
        <w:t>专科医生</w:t>
      </w:r>
      <w:r>
        <w:rPr>
          <w:rFonts w:hint="eastAsia" w:ascii="Times New Roman" w:hAnsi="Times New Roman"/>
          <w:b w:val="0"/>
          <w:bCs w:val="0"/>
          <w:sz w:val="24"/>
          <w:szCs w:val="24"/>
          <w:lang w:eastAsia="zh-CN"/>
        </w:rPr>
        <w:t>”</w:t>
      </w:r>
      <w:r>
        <w:rPr>
          <w:rFonts w:ascii="Times New Roman" w:hAnsi="Times New Roman"/>
          <w:b w:val="0"/>
          <w:bCs w:val="0"/>
          <w:sz w:val="24"/>
          <w:szCs w:val="24"/>
        </w:rPr>
        <w:t>到</w:t>
      </w:r>
      <w:r>
        <w:rPr>
          <w:rFonts w:hint="eastAsia" w:ascii="Times New Roman" w:hAnsi="Times New Roman"/>
          <w:b w:val="0"/>
          <w:bCs w:val="0"/>
          <w:sz w:val="24"/>
          <w:szCs w:val="24"/>
          <w:lang w:eastAsia="zh-CN"/>
        </w:rPr>
        <w:t>“</w:t>
      </w:r>
      <w:r>
        <w:rPr>
          <w:rFonts w:ascii="Times New Roman" w:hAnsi="Times New Roman"/>
          <w:b w:val="0"/>
          <w:bCs w:val="0"/>
          <w:sz w:val="24"/>
          <w:szCs w:val="24"/>
        </w:rPr>
        <w:t>全科智能</w:t>
      </w:r>
      <w:r>
        <w:rPr>
          <w:rFonts w:hint="eastAsia" w:ascii="Times New Roman" w:hAnsi="Times New Roman"/>
          <w:b w:val="0"/>
          <w:bCs w:val="0"/>
          <w:sz w:val="24"/>
          <w:szCs w:val="24"/>
          <w:lang w:eastAsia="zh-CN"/>
        </w:rPr>
        <w:t>”</w:t>
      </w:r>
      <w:r>
        <w:rPr>
          <w:rFonts w:ascii="Times New Roman" w:hAnsi="Times New Roman"/>
          <w:b w:val="0"/>
          <w:bCs w:val="0"/>
          <w:sz w:val="24"/>
          <w:szCs w:val="24"/>
        </w:rPr>
        <w:t>的跃迁</w:t>
      </w:r>
    </w:p>
    <w:p w14:paraId="0C73AB80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三、内容分析</w:t>
      </w:r>
    </w:p>
    <w:p w14:paraId="28D86716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（一）教学内容地位</w:t>
      </w:r>
    </w:p>
    <w:p w14:paraId="3D7357A8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本章是前沿技术的重点解析章节，承接第四章人工智能技术原理的基础认知，聚焦当前最具革命性的大模型技术。通过深入剖析大模型的本质属性、技术突破机制和范式转移意义，帮助学生理解这一技术如何重构人工智能发展路径，为后续章节的社会影响分析和教育应用实践提供前沿技术支撑。</w:t>
      </w:r>
    </w:p>
    <w:p w14:paraId="4C836560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（二）知识结构分析</w:t>
      </w:r>
    </w:p>
    <w:p w14:paraId="7D1338DD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本章围绕"范式跃迁→技术机制→规模效应→社会挑战"的逻辑主线展开：</w:t>
      </w:r>
    </w:p>
    <w:p w14:paraId="16D39783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范式跃迁</w:t>
      </w:r>
      <w:r>
        <w:rPr>
          <w:rFonts w:ascii="Times New Roman" w:hAnsi="Times New Roman" w:eastAsia="宋体"/>
        </w:rPr>
        <w:t>：从传统专用模型到基础通用模型的革命性转变</w:t>
      </w:r>
    </w:p>
    <w:p w14:paraId="40DB52D8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技术机制</w:t>
      </w:r>
      <w:r>
        <w:rPr>
          <w:rFonts w:ascii="Times New Roman" w:hAnsi="Times New Roman" w:eastAsia="宋体"/>
        </w:rPr>
        <w:t>：预训练+后训练的双阶段训练范式和多模态融合技术</w:t>
      </w:r>
    </w:p>
    <w:p w14:paraId="2AC68901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规模效应</w:t>
      </w:r>
      <w:r>
        <w:rPr>
          <w:rFonts w:ascii="Times New Roman" w:hAnsi="Times New Roman" w:eastAsia="宋体"/>
        </w:rPr>
        <w:t>：缩放定律与智能涌现现象的实证验证</w:t>
      </w:r>
    </w:p>
    <w:p w14:paraId="3177189D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社会挑战</w:t>
      </w:r>
      <w:r>
        <w:rPr>
          <w:rFonts w:ascii="Times New Roman" w:hAnsi="Times New Roman" w:eastAsia="宋体"/>
        </w:rPr>
        <w:t>：技术-社会-治理三重挑战的系统性思考</w:t>
      </w:r>
    </w:p>
    <w:p w14:paraId="4D8AEF5B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（三）思政元素融入点</w:t>
      </w:r>
    </w:p>
    <w:p w14:paraId="497C08A5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辩证思维与理性认知</w:t>
      </w:r>
      <w:r>
        <w:rPr>
          <w:rFonts w:ascii="Times New Roman" w:hAnsi="Times New Roman" w:eastAsia="宋体"/>
        </w:rPr>
        <w:t>：运用马克思主义对立统一规律看待大模型的双重性</w:t>
      </w:r>
    </w:p>
    <w:p w14:paraId="3A2E5394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道路自信与制度自信</w:t>
      </w:r>
      <w:r>
        <w:rPr>
          <w:rFonts w:ascii="Times New Roman" w:hAnsi="Times New Roman" w:eastAsia="宋体"/>
        </w:rPr>
        <w:t>：展示中国在大模型领域的发展成就和治理实践</w:t>
      </w:r>
    </w:p>
    <w:p w14:paraId="66053D0B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总体国家安全观</w:t>
      </w:r>
      <w:r>
        <w:rPr>
          <w:rFonts w:ascii="Times New Roman" w:hAnsi="Times New Roman" w:eastAsia="宋体"/>
        </w:rPr>
        <w:t>：分析大模型发展中的技术安全和国家安全问题</w:t>
      </w:r>
    </w:p>
    <w:p w14:paraId="2D5044D6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四、学情分析</w:t>
      </w:r>
    </w:p>
    <w:p w14:paraId="00A4B066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（一）学生基础分析</w:t>
      </w:r>
    </w:p>
    <w:p w14:paraId="7BEA4158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认知基础</w:t>
      </w:r>
      <w:r>
        <w:rPr>
          <w:rFonts w:ascii="Times New Roman" w:hAnsi="Times New Roman" w:eastAsia="宋体"/>
        </w:rPr>
        <w:t>：已掌握人工智能基本原理和技术发展历程，具备神经网络基础知识</w:t>
      </w:r>
    </w:p>
    <w:p w14:paraId="1EC8087E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实践经验</w:t>
      </w:r>
      <w:r>
        <w:rPr>
          <w:rFonts w:ascii="Times New Roman" w:hAnsi="Times New Roman" w:eastAsia="宋体"/>
        </w:rPr>
        <w:t>：对ChatGPT等大模型产品有使用体验，但缺乏深层技术理解</w:t>
      </w:r>
    </w:p>
    <w:p w14:paraId="0A720856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学习兴趣</w:t>
      </w:r>
      <w:r>
        <w:rPr>
          <w:rFonts w:ascii="Times New Roman" w:hAnsi="Times New Roman" w:eastAsia="宋体"/>
        </w:rPr>
        <w:t>：对前沿技术充满好奇，但可能对复杂技术原理存在畏难情绪</w:t>
      </w:r>
    </w:p>
    <w:p w14:paraId="676D9F33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能力特点</w:t>
      </w:r>
      <w:r>
        <w:rPr>
          <w:rFonts w:ascii="Times New Roman" w:hAnsi="Times New Roman" w:eastAsia="宋体"/>
        </w:rPr>
        <w:t>：具备一定的抽象思维和类比分析能力</w:t>
      </w:r>
    </w:p>
    <w:p w14:paraId="5C412915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（二）学习困难预判</w:t>
      </w:r>
    </w:p>
    <w:p w14:paraId="6F6D7532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技术复杂性理解</w:t>
      </w:r>
      <w:r>
        <w:rPr>
          <w:rFonts w:ascii="Times New Roman" w:hAnsi="Times New Roman" w:eastAsia="宋体"/>
        </w:rPr>
        <w:t>：预训练+后训练的双阶段机制较为复杂</w:t>
      </w:r>
    </w:p>
    <w:p w14:paraId="793628C1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规模效应把握</w:t>
      </w:r>
      <w:r>
        <w:rPr>
          <w:rFonts w:ascii="Times New Roman" w:hAnsi="Times New Roman" w:eastAsia="宋体"/>
        </w:rPr>
        <w:t>：缩放定律和涌现现象的科学内涵不易理解</w:t>
      </w:r>
    </w:p>
    <w:p w14:paraId="7A7D2B04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多模态技术认知</w:t>
      </w:r>
      <w:r>
        <w:rPr>
          <w:rFonts w:ascii="Times New Roman" w:hAnsi="Times New Roman" w:eastAsia="宋体"/>
        </w:rPr>
        <w:t>：跨模态对齐技术的工作原理相对抽象</w:t>
      </w:r>
    </w:p>
    <w:p w14:paraId="066083CB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社会影响分析</w:t>
      </w:r>
      <w:r>
        <w:rPr>
          <w:rFonts w:ascii="Times New Roman" w:hAnsi="Times New Roman" w:eastAsia="宋体"/>
        </w:rPr>
        <w:t>：技术-社会-治理三重挑战的系统性思考有难度</w:t>
      </w:r>
    </w:p>
    <w:p w14:paraId="0BE326B1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五、教学目标及要求</w:t>
      </w:r>
    </w:p>
    <w:p w14:paraId="2A21E5E2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（一）知识目标</w:t>
      </w:r>
    </w:p>
    <w:p w14:paraId="7256083E">
      <w:pPr>
        <w:widowControl/>
        <w:numPr>
          <w:ilvl w:val="0"/>
          <w:numId w:val="1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能用自己的语言解释大模型的定义及核心特征，理解其与传统机器学习的本质差异</w:t>
      </w:r>
    </w:p>
    <w:p w14:paraId="1942F528">
      <w:pPr>
        <w:widowControl/>
        <w:numPr>
          <w:ilvl w:val="0"/>
          <w:numId w:val="1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理解大模型"预训练+后训练"的基本工作原理，掌握双阶段训练范式的优势</w:t>
      </w:r>
    </w:p>
    <w:p w14:paraId="50C95FB3">
      <w:pPr>
        <w:widowControl/>
        <w:numPr>
          <w:ilvl w:val="0"/>
          <w:numId w:val="1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掌握缩放定律的核心观点及其现实意义，理解智能涌现现象的科学内涵</w:t>
      </w:r>
    </w:p>
    <w:p w14:paraId="32D2A22C">
      <w:pPr>
        <w:widowControl/>
        <w:numPr>
          <w:ilvl w:val="0"/>
          <w:numId w:val="1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了解多模态融合技术的基本原理和应用价值</w:t>
      </w:r>
    </w:p>
    <w:p w14:paraId="40F988EF">
      <w:pPr>
        <w:widowControl/>
        <w:numPr>
          <w:ilvl w:val="0"/>
          <w:numId w:val="1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认识大模型发展面临的技术-社会-治理三重挑战</w:t>
      </w:r>
    </w:p>
    <w:p w14:paraId="24D23D3C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（二）能力目标</w:t>
      </w:r>
    </w:p>
    <w:p w14:paraId="538DF412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技术分析能力</w:t>
      </w:r>
      <w:r>
        <w:rPr>
          <w:rFonts w:ascii="Times New Roman" w:hAnsi="Times New Roman" w:eastAsia="宋体"/>
        </w:rPr>
        <w:t>：能够分析大模型的技术优势和局限性</w:t>
      </w:r>
    </w:p>
    <w:p w14:paraId="6ED14106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现象解释能力</w:t>
      </w:r>
      <w:r>
        <w:rPr>
          <w:rFonts w:ascii="Times New Roman" w:hAnsi="Times New Roman" w:eastAsia="宋体"/>
        </w:rPr>
        <w:t>：能够用科学的观点解释智能涌现等复杂现象</w:t>
      </w:r>
    </w:p>
    <w:p w14:paraId="561D8478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批判思维能力</w:t>
      </w:r>
      <w:r>
        <w:rPr>
          <w:rFonts w:ascii="Times New Roman" w:hAnsi="Times New Roman" w:eastAsia="宋体"/>
        </w:rPr>
        <w:t>：能够辩证地看待大模型技术的机遇与挑战</w:t>
      </w:r>
    </w:p>
    <w:p w14:paraId="71E52397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应用设想能力</w:t>
      </w:r>
      <w:r>
        <w:rPr>
          <w:rFonts w:ascii="Times New Roman" w:hAnsi="Times New Roman" w:eastAsia="宋体"/>
        </w:rPr>
        <w:t>：能够基于大模型技术特点设想教育应用场景</w:t>
      </w:r>
    </w:p>
    <w:p w14:paraId="760B8608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（三）素养目标</w:t>
      </w:r>
    </w:p>
    <w:p w14:paraId="0AA9A564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科学精神</w:t>
      </w:r>
      <w:r>
        <w:rPr>
          <w:rFonts w:ascii="Times New Roman" w:hAnsi="Times New Roman" w:eastAsia="宋体"/>
        </w:rPr>
        <w:t>：培养对前沿技术的科学认知和理性态度</w:t>
      </w:r>
    </w:p>
    <w:p w14:paraId="0A17D02A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创新意识</w:t>
      </w:r>
      <w:r>
        <w:rPr>
          <w:rFonts w:ascii="Times New Roman" w:hAnsi="Times New Roman" w:eastAsia="宋体"/>
        </w:rPr>
        <w:t>：理解技术创新的规律和意义，激发创新思维</w:t>
      </w:r>
    </w:p>
    <w:p w14:paraId="5BA3C9E0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责任意识</w:t>
      </w:r>
      <w:r>
        <w:rPr>
          <w:rFonts w:ascii="Times New Roman" w:hAnsi="Times New Roman" w:eastAsia="宋体"/>
        </w:rPr>
        <w:t>：认识技术发展的社会责任和伦理要求</w:t>
      </w:r>
    </w:p>
    <w:p w14:paraId="42C13F37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全球视野</w:t>
      </w:r>
      <w:r>
        <w:rPr>
          <w:rFonts w:ascii="Times New Roman" w:hAnsi="Times New Roman" w:eastAsia="宋体"/>
        </w:rPr>
        <w:t>：了解大模型全球发展格局和治理挑战</w:t>
      </w:r>
    </w:p>
    <w:p w14:paraId="6CACECE6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六、教学重点与难点</w:t>
      </w:r>
    </w:p>
    <w:p w14:paraId="2F604B7C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（一）教学重点</w:t>
      </w:r>
    </w:p>
    <w:p w14:paraId="4C2913EA">
      <w:pPr>
        <w:widowControl/>
        <w:numPr>
          <w:ilvl w:val="0"/>
          <w:numId w:val="2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从传统机器学习到基础模型的范式跃迁</w:t>
      </w:r>
    </w:p>
    <w:p w14:paraId="6B736B02">
      <w:pPr>
        <w:widowControl/>
        <w:numPr>
          <w:ilvl w:val="0"/>
          <w:numId w:val="2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大模型的革命性特征体系：规模化、通用化、涌现性</w:t>
      </w:r>
    </w:p>
    <w:p w14:paraId="19D5A7DC">
      <w:pPr>
        <w:widowControl/>
        <w:numPr>
          <w:ilvl w:val="0"/>
          <w:numId w:val="2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预训练与后训练的双阶段范式工作机制</w:t>
      </w:r>
    </w:p>
    <w:p w14:paraId="5444ADC3">
      <w:pPr>
        <w:widowControl/>
        <w:numPr>
          <w:ilvl w:val="0"/>
          <w:numId w:val="2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缩放定律与涌现现象的实证验证</w:t>
      </w:r>
    </w:p>
    <w:p w14:paraId="31A8B3FF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（二）教学难点</w:t>
      </w:r>
    </w:p>
    <w:p w14:paraId="028F3642">
      <w:pPr>
        <w:widowControl/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大模型范式跃迁的技术本质理解</w:t>
      </w:r>
    </w:p>
    <w:p w14:paraId="3EA091FC">
      <w:pPr>
        <w:widowControl/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多模态融合的跨模态对齐技术机制</w:t>
      </w:r>
    </w:p>
    <w:p w14:paraId="386189F9">
      <w:pPr>
        <w:widowControl/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涌现现象的科学解释与临界点判断</w:t>
      </w:r>
    </w:p>
    <w:p w14:paraId="6E806740">
      <w:pPr>
        <w:widowControl/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  <w:lang w:eastAsia="zh-CN"/>
        </w:rPr>
        <w:t>“</w:t>
      </w:r>
      <w:r>
        <w:rPr>
          <w:rFonts w:ascii="Times New Roman" w:hAnsi="Times New Roman" w:eastAsia="宋体"/>
          <w:sz w:val="24"/>
        </w:rPr>
        <w:t>技术-社会-治理</w:t>
      </w:r>
      <w:r>
        <w:rPr>
          <w:rFonts w:hint="eastAsia" w:ascii="Times New Roman" w:hAnsi="Times New Roman" w:eastAsia="宋体"/>
          <w:sz w:val="24"/>
          <w:lang w:eastAsia="zh-CN"/>
        </w:rPr>
        <w:t>”</w:t>
      </w:r>
      <w:r>
        <w:rPr>
          <w:rFonts w:ascii="Times New Roman" w:hAnsi="Times New Roman" w:eastAsia="宋体"/>
          <w:sz w:val="24"/>
        </w:rPr>
        <w:t>三重挑战的系统性分析</w:t>
      </w:r>
    </w:p>
    <w:p w14:paraId="091A6375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七、教学方法</w:t>
      </w:r>
    </w:p>
    <w:p w14:paraId="333CD6F4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（一）主要教学方法</w:t>
      </w:r>
    </w:p>
    <w:p w14:paraId="42CE2B39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类比教学法</w:t>
      </w:r>
      <w:r>
        <w:rPr>
          <w:rFonts w:ascii="Times New Roman" w:hAnsi="Times New Roman" w:eastAsia="宋体"/>
        </w:rPr>
        <w:t>：通过</w:t>
      </w:r>
      <w:r>
        <w:rPr>
          <w:rFonts w:hint="eastAsia" w:ascii="Times New Roman" w:hAnsi="Times New Roman" w:eastAsia="宋体"/>
          <w:lang w:eastAsia="zh-CN"/>
        </w:rPr>
        <w:t>“</w:t>
      </w:r>
      <w:r>
        <w:rPr>
          <w:rFonts w:ascii="Times New Roman" w:hAnsi="Times New Roman" w:eastAsia="宋体"/>
        </w:rPr>
        <w:t>专科医生</w:t>
      </w:r>
      <w:r>
        <w:rPr>
          <w:rFonts w:hint="eastAsia" w:ascii="Times New Roman" w:hAnsi="Times New Roman" w:eastAsia="宋体"/>
          <w:lang w:eastAsia="zh-CN"/>
        </w:rPr>
        <w:t>”</w:t>
      </w:r>
      <w:r>
        <w:rPr>
          <w:rFonts w:ascii="Times New Roman" w:hAnsi="Times New Roman" w:eastAsia="宋体"/>
        </w:rPr>
        <w:t>与</w:t>
      </w:r>
      <w:r>
        <w:rPr>
          <w:rFonts w:hint="eastAsia" w:ascii="Times New Roman" w:hAnsi="Times New Roman" w:eastAsia="宋体"/>
          <w:lang w:eastAsia="zh-CN"/>
        </w:rPr>
        <w:t>“</w:t>
      </w:r>
      <w:r>
        <w:rPr>
          <w:rFonts w:ascii="Times New Roman" w:hAnsi="Times New Roman" w:eastAsia="宋体"/>
        </w:rPr>
        <w:t>全科医生</w:t>
      </w:r>
      <w:r>
        <w:rPr>
          <w:rFonts w:hint="eastAsia" w:ascii="Times New Roman" w:hAnsi="Times New Roman" w:eastAsia="宋体"/>
          <w:lang w:eastAsia="zh-CN"/>
        </w:rPr>
        <w:t>”</w:t>
      </w:r>
      <w:r>
        <w:rPr>
          <w:rFonts w:ascii="Times New Roman" w:hAnsi="Times New Roman" w:eastAsia="宋体"/>
        </w:rPr>
        <w:t>类比解释大模型</w:t>
      </w:r>
    </w:p>
    <w:p w14:paraId="79427B46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案例分析法</w:t>
      </w:r>
      <w:r>
        <w:rPr>
          <w:rFonts w:ascii="Times New Roman" w:hAnsi="Times New Roman" w:eastAsia="宋体"/>
        </w:rPr>
        <w:t>：运用GPT系列发展历程展示技术演进</w:t>
      </w:r>
    </w:p>
    <w:p w14:paraId="06A019A8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问题驱动法</w:t>
      </w:r>
      <w:r>
        <w:rPr>
          <w:rFonts w:ascii="Times New Roman" w:hAnsi="Times New Roman" w:eastAsia="宋体"/>
        </w:rPr>
        <w:t>：以研究生级别问题展示大模型能力</w:t>
      </w:r>
    </w:p>
    <w:p w14:paraId="0B5EAE2E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实践体验法</w:t>
      </w:r>
      <w:r>
        <w:rPr>
          <w:rFonts w:ascii="Times New Roman" w:hAnsi="Times New Roman" w:eastAsia="宋体"/>
        </w:rPr>
        <w:t>：通过大模型工具操作加深理解</w:t>
      </w:r>
    </w:p>
    <w:p w14:paraId="102C9E9F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（二）教学组织形式</w:t>
      </w:r>
    </w:p>
    <w:p w14:paraId="3445955C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讲授与体验结合：原理讲解（40%）+ 案例分析（30%）+ 实践操作（25%）+ 讨论交流（5%）</w:t>
      </w:r>
    </w:p>
    <w:p w14:paraId="318C210D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理论与应用并重：强化技术理解与教育应用的结合</w:t>
      </w:r>
    </w:p>
    <w:p w14:paraId="50A1287F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八、教学准备</w:t>
      </w:r>
    </w:p>
    <w:p w14:paraId="1FAE905C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（一）技术准备</w:t>
      </w:r>
    </w:p>
    <w:p w14:paraId="1F399647">
      <w:pPr>
        <w:widowControl/>
        <w:numPr>
          <w:ilvl w:val="0"/>
          <w:numId w:val="4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多媒体教室设备，支持高清视频和动画播放</w:t>
      </w:r>
    </w:p>
    <w:p w14:paraId="563E828A">
      <w:pPr>
        <w:widowControl/>
        <w:numPr>
          <w:ilvl w:val="0"/>
          <w:numId w:val="4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稳定网络环境，支持大模型在线工具访问</w:t>
      </w:r>
    </w:p>
    <w:p w14:paraId="2C62A381">
      <w:pPr>
        <w:widowControl/>
        <w:numPr>
          <w:ilvl w:val="0"/>
          <w:numId w:val="4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DeepSeek等大模型平台的演示准备</w:t>
      </w:r>
    </w:p>
    <w:p w14:paraId="1A4D604A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（二）资源准备</w:t>
      </w:r>
    </w:p>
    <w:p w14:paraId="3F9C6C5A">
      <w:pPr>
        <w:widowControl/>
        <w:numPr>
          <w:ilvl w:val="0"/>
          <w:numId w:val="5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GPT系列发展历程图表和技术对比资料</w:t>
      </w:r>
    </w:p>
    <w:p w14:paraId="17AF34C8">
      <w:pPr>
        <w:widowControl/>
        <w:numPr>
          <w:ilvl w:val="0"/>
          <w:numId w:val="5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缩放定律和涌现现象的可视化图表</w:t>
      </w:r>
    </w:p>
    <w:p w14:paraId="636D5F06">
      <w:pPr>
        <w:widowControl/>
        <w:numPr>
          <w:ilvl w:val="0"/>
          <w:numId w:val="5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多模态大模型应用案例素材</w:t>
      </w:r>
    </w:p>
    <w:p w14:paraId="54281E27">
      <w:pPr>
        <w:widowControl/>
        <w:numPr>
          <w:ilvl w:val="0"/>
          <w:numId w:val="5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研究生级别问题的演示案例</w:t>
      </w:r>
    </w:p>
    <w:p w14:paraId="53CEA675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（三）材料准备</w:t>
      </w:r>
    </w:p>
    <w:p w14:paraId="605FEEAA">
      <w:pPr>
        <w:widowControl/>
        <w:numPr>
          <w:ilvl w:val="0"/>
          <w:numId w:val="6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大模型技术特征对比表</w:t>
      </w:r>
    </w:p>
    <w:p w14:paraId="07A13656">
      <w:pPr>
        <w:widowControl/>
        <w:numPr>
          <w:ilvl w:val="0"/>
          <w:numId w:val="6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实训指导手册和评价标准</w:t>
      </w:r>
    </w:p>
    <w:p w14:paraId="74ECB7FA">
      <w:pPr>
        <w:widowControl/>
        <w:numPr>
          <w:ilvl w:val="0"/>
          <w:numId w:val="6"/>
        </w:numPr>
        <w:spacing w:line="360" w:lineRule="auto"/>
        <w:ind w:left="0"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思政融入案例素材</w:t>
      </w:r>
    </w:p>
    <w:p w14:paraId="4D09F8A2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九、教学过程</w:t>
      </w:r>
    </w:p>
    <w:p w14:paraId="3A6C6300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第一次课（90分钟）：大模型本质与技术机制</w:t>
      </w:r>
    </w:p>
    <w:p w14:paraId="3AC902A0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</w:rPr>
      </w:pPr>
      <w:r>
        <w:rPr>
          <w:rFonts w:ascii="Times New Roman" w:hAnsi="Times New Roman"/>
        </w:rPr>
        <w:t>9.1 教学导入（15分钟）</w:t>
      </w:r>
    </w:p>
    <w:p w14:paraId="1664C625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环节1：能力震撼（8分钟）</w:t>
      </w:r>
    </w:p>
    <w:p w14:paraId="325D8B7F">
      <w:pPr>
        <w:pStyle w:val="9"/>
        <w:widowControl/>
        <w:numPr>
          <w:ilvl w:val="0"/>
          <w:numId w:val="7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展示大模型解答研究生级别复杂问题的案例（五座钟楼问题）</w:t>
      </w:r>
    </w:p>
    <w:p w14:paraId="078EBBEB">
      <w:pPr>
        <w:pStyle w:val="9"/>
        <w:widowControl/>
        <w:numPr>
          <w:ilvl w:val="0"/>
          <w:numId w:val="7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提出核心问题：为什么大模型能展现如此惊人的推理能力？</w:t>
      </w:r>
    </w:p>
    <w:p w14:paraId="0444249C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环节2：范式对比（7分钟）</w:t>
      </w:r>
    </w:p>
    <w:p w14:paraId="64B6074B">
      <w:pPr>
        <w:pStyle w:val="9"/>
        <w:widowControl/>
        <w:numPr>
          <w:ilvl w:val="0"/>
          <w:numId w:val="8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对比传统AI"专科医生"与大模型"全科医生"的差异</w:t>
      </w:r>
    </w:p>
    <w:p w14:paraId="5B9FB87F">
      <w:pPr>
        <w:pStyle w:val="9"/>
        <w:widowControl/>
        <w:numPr>
          <w:ilvl w:val="0"/>
          <w:numId w:val="8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引发思考：这种转变的技术本质是什么？</w:t>
      </w:r>
    </w:p>
    <w:p w14:paraId="432B5C81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思政融入点</w:t>
      </w:r>
      <w:r>
        <w:rPr>
          <w:rFonts w:ascii="Times New Roman" w:hAnsi="Times New Roman" w:eastAsia="宋体"/>
        </w:rPr>
        <w:t>：通过展示中国大模型（如DeepSeek）的优秀表现，增强学生的科技自信。</w:t>
      </w:r>
    </w:p>
    <w:p w14:paraId="7CDE7ED8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</w:rPr>
      </w:pPr>
      <w:r>
        <w:rPr>
          <w:rFonts w:ascii="Times New Roman" w:hAnsi="Times New Roman"/>
        </w:rPr>
        <w:t>9.2 教学展开（65分钟）</w:t>
      </w:r>
    </w:p>
    <w:p w14:paraId="49800693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模块一：大模型的本质属性与技术演进路径（30分钟）</w:t>
      </w:r>
    </w:p>
    <w:p w14:paraId="4395B03B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子模块1.1：从传统机器学习到基础模型的范式跃迁（12分钟）</w:t>
      </w:r>
    </w:p>
    <w:p w14:paraId="2816E56A">
      <w:pPr>
        <w:pStyle w:val="17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"专科医生"模式的局限性分析</w:t>
      </w:r>
    </w:p>
    <w:p w14:paraId="23471042">
      <w:pPr>
        <w:pStyle w:val="17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"全科医生"模式的优势展现</w:t>
      </w:r>
    </w:p>
    <w:p w14:paraId="7DCF4A8F">
      <w:pPr>
        <w:pStyle w:val="17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双阶段训练vs传统训练的对比</w:t>
      </w:r>
    </w:p>
    <w:p w14:paraId="631EF757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子模块1.2：大模型的革命性特征体系（10分钟）</w:t>
      </w:r>
    </w:p>
    <w:p w14:paraId="1932DF8B">
      <w:pPr>
        <w:pStyle w:val="17"/>
        <w:widowControl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参数规模：从百万到万亿的量级跃升</w:t>
      </w:r>
    </w:p>
    <w:p w14:paraId="562487BF">
      <w:pPr>
        <w:pStyle w:val="17"/>
        <w:widowControl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逐词预测：自回归生成机制</w:t>
      </w:r>
      <w:bookmarkStart w:id="0" w:name="_GoBack"/>
      <w:bookmarkEnd w:id="0"/>
    </w:p>
    <w:p w14:paraId="042EB5AD">
      <w:pPr>
        <w:pStyle w:val="17"/>
        <w:widowControl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输出随机性：温度参数的控制作用</w:t>
      </w:r>
    </w:p>
    <w:p w14:paraId="2B2CE161">
      <w:pPr>
        <w:pStyle w:val="17"/>
        <w:widowControl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上下文长度：对推理速度的影响</w:t>
      </w:r>
    </w:p>
    <w:p w14:paraId="2384C920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子模块1.3：大模型的技术谱系及演进脉络（8分钟）</w:t>
      </w:r>
    </w:p>
    <w:p w14:paraId="53C91649">
      <w:pPr>
        <w:pStyle w:val="17"/>
        <w:widowControl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Decoder-only架构（GPT系列）</w:t>
      </w:r>
    </w:p>
    <w:p w14:paraId="33E0BFDE">
      <w:pPr>
        <w:pStyle w:val="17"/>
        <w:widowControl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Encoder-only架构（BERT系列）</w:t>
      </w:r>
    </w:p>
    <w:p w14:paraId="4CD0C282">
      <w:pPr>
        <w:pStyle w:val="17"/>
        <w:widowControl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Encoder-Decoder架构（T5系列）</w:t>
      </w:r>
    </w:p>
    <w:p w14:paraId="58C9D245">
      <w:pPr>
        <w:pStyle w:val="17"/>
        <w:widowControl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四大核心功能领域的技术突破</w:t>
      </w:r>
    </w:p>
    <w:p w14:paraId="0ECD8234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思政融入点</w:t>
      </w:r>
      <w:r>
        <w:rPr>
          <w:rFonts w:ascii="Times New Roman" w:hAnsi="Times New Roman" w:eastAsia="宋体"/>
        </w:rPr>
        <w:t>：结合文心一言、通义千问等国产大模型的技术特色，培养学生的道路自信。</w:t>
      </w:r>
    </w:p>
    <w:p w14:paraId="3F779BA6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模块二：大模型的核心技术突破机制（35分钟）</w:t>
      </w:r>
    </w:p>
    <w:p w14:paraId="087EADDA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子模块2.1：预训练与后训练的双阶段范式（20分钟）</w:t>
      </w:r>
    </w:p>
    <w:p w14:paraId="11AFD55C">
      <w:pPr>
        <w:widowControl/>
        <w:spacing w:line="360" w:lineRule="auto"/>
        <w:ind w:left="420" w:left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阶段1-2：数据收集与数据工程的重要性</w:t>
      </w:r>
    </w:p>
    <w:p w14:paraId="42094E36">
      <w:pPr>
        <w:widowControl/>
        <w:spacing w:line="360" w:lineRule="auto"/>
        <w:ind w:left="420" w:left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 xml:space="preserve">阶段3：预训练的"通识教育"机制 </w:t>
      </w:r>
    </w:p>
    <w:p w14:paraId="4C994A49">
      <w:pPr>
        <w:pStyle w:val="17"/>
        <w:widowControl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海量数据的"博览群书"</w:t>
      </w:r>
    </w:p>
    <w:p w14:paraId="1C344CAC">
      <w:pPr>
        <w:pStyle w:val="17"/>
        <w:widowControl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下一词预测的学习机制</w:t>
      </w:r>
    </w:p>
    <w:p w14:paraId="0B95C1A8">
      <w:pPr>
        <w:pStyle w:val="17"/>
        <w:widowControl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知识网络的自发构建</w:t>
      </w:r>
    </w:p>
    <w:p w14:paraId="10C5C314">
      <w:pPr>
        <w:widowControl/>
        <w:spacing w:line="360" w:lineRule="auto"/>
        <w:ind w:left="420" w:left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 xml:space="preserve">阶段4.1：指令微调的"专业深造" </w:t>
      </w:r>
    </w:p>
    <w:p w14:paraId="6A9DA122">
      <w:pPr>
        <w:pStyle w:val="17"/>
        <w:widowControl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高质量指令-回应数据对</w:t>
      </w:r>
    </w:p>
    <w:p w14:paraId="294FB605">
      <w:pPr>
        <w:pStyle w:val="17"/>
        <w:widowControl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从"书呆子"到"专业人士"的转变</w:t>
      </w:r>
    </w:p>
    <w:p w14:paraId="528B1B99">
      <w:pPr>
        <w:widowControl/>
        <w:spacing w:line="360" w:lineRule="auto"/>
        <w:ind w:left="420" w:left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 xml:space="preserve">阶段4.2：强化学习的"情境智慧"培养 </w:t>
      </w:r>
    </w:p>
    <w:p w14:paraId="7958C25D">
      <w:pPr>
        <w:pStyle w:val="17"/>
        <w:widowControl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奖励模型的训练机制</w:t>
      </w:r>
    </w:p>
    <w:p w14:paraId="4C778AB9">
      <w:pPr>
        <w:pStyle w:val="17"/>
        <w:widowControl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RLHF的人类反馈循环</w:t>
      </w:r>
    </w:p>
    <w:p w14:paraId="517B1595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子模块2.2：多模态融合的跨模态对齐技术（15分钟）</w:t>
      </w:r>
    </w:p>
    <w:p w14:paraId="5922DFAB">
      <w:pPr>
        <w:pStyle w:val="17"/>
        <w:widowControl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跨模态表征学习的基本原理</w:t>
      </w:r>
    </w:p>
    <w:p w14:paraId="25036662">
      <w:pPr>
        <w:pStyle w:val="17"/>
        <w:widowControl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文本、图像、音频的特征向量生成</w:t>
      </w:r>
    </w:p>
    <w:p w14:paraId="4E7567EF">
      <w:pPr>
        <w:pStyle w:val="17"/>
        <w:widowControl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对齐机制与融合策略</w:t>
      </w:r>
    </w:p>
    <w:p w14:paraId="3BDA4455">
      <w:pPr>
        <w:pStyle w:val="17"/>
        <w:widowControl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多模态输出的解码过程</w:t>
      </w:r>
    </w:p>
    <w:p w14:paraId="2327C1F8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</w:rPr>
      </w:pPr>
      <w:r>
        <w:rPr>
          <w:rFonts w:ascii="Times New Roman" w:hAnsi="Times New Roman"/>
        </w:rPr>
        <w:t>9.3 课堂讨论与小结（10分钟）</w:t>
      </w:r>
    </w:p>
    <w:p w14:paraId="17627D81">
      <w:pPr>
        <w:pStyle w:val="9"/>
        <w:widowControl/>
        <w:numPr>
          <w:ilvl w:val="0"/>
          <w:numId w:val="16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小组讨论：大模型的"智能"与人类智能有何异同？</w:t>
      </w:r>
    </w:p>
    <w:p w14:paraId="1A8E63DF">
      <w:pPr>
        <w:pStyle w:val="9"/>
        <w:widowControl/>
        <w:numPr>
          <w:ilvl w:val="0"/>
          <w:numId w:val="16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学生分享观点，教师引导总结</w:t>
      </w:r>
    </w:p>
    <w:p w14:paraId="05FB974D">
      <w:pPr>
        <w:pStyle w:val="9"/>
        <w:widowControl/>
        <w:numPr>
          <w:ilvl w:val="0"/>
          <w:numId w:val="16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强调：技术进步带来的机遇与挑战并存</w:t>
      </w:r>
    </w:p>
    <w:p w14:paraId="7D3191AF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第二次课（90分钟）：规模效应与社会挑战</w:t>
      </w:r>
    </w:p>
    <w:p w14:paraId="3B3C6F75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</w:rPr>
      </w:pPr>
      <w:r>
        <w:rPr>
          <w:rFonts w:ascii="Times New Roman" w:hAnsi="Times New Roman"/>
        </w:rPr>
        <w:t>9.4 复习导入（10分钟）</w:t>
      </w:r>
    </w:p>
    <w:p w14:paraId="6CD4D830">
      <w:pPr>
        <w:pStyle w:val="9"/>
        <w:widowControl/>
        <w:numPr>
          <w:ilvl w:val="0"/>
          <w:numId w:val="17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回顾上节课大模型的技术机制</w:t>
      </w:r>
    </w:p>
    <w:p w14:paraId="2A068E7D">
      <w:pPr>
        <w:pStyle w:val="9"/>
        <w:widowControl/>
        <w:numPr>
          <w:ilvl w:val="0"/>
          <w:numId w:val="17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引入问题：为什么"更大"就能"更智能"？</w:t>
      </w:r>
    </w:p>
    <w:p w14:paraId="55E6C8CE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</w:rPr>
      </w:pPr>
      <w:r>
        <w:rPr>
          <w:rFonts w:ascii="Times New Roman" w:hAnsi="Times New Roman"/>
        </w:rPr>
        <w:t>9.5 教学展开（70分钟）</w:t>
      </w:r>
    </w:p>
    <w:p w14:paraId="17B40A10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模块三：技术范式的结构性转移（35分钟）</w:t>
      </w:r>
    </w:p>
    <w:p w14:paraId="013A4EE0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子模块3.1：缩放定律与涌现现象的实证验证（20分钟）</w:t>
      </w:r>
    </w:p>
    <w:p w14:paraId="1E1BB3D0">
      <w:pPr>
        <w:widowControl/>
        <w:spacing w:line="360" w:lineRule="auto"/>
        <w:ind w:left="420" w:left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 xml:space="preserve">缩放定律的科学内涵 </w:t>
      </w:r>
    </w:p>
    <w:p w14:paraId="00CB479D">
      <w:pPr>
        <w:pStyle w:val="17"/>
        <w:widowControl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参数量与性能的幂律关系</w:t>
      </w:r>
    </w:p>
    <w:p w14:paraId="189484C7">
      <w:pPr>
        <w:pStyle w:val="17"/>
        <w:widowControl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数据量与算力的协同作用</w:t>
      </w:r>
    </w:p>
    <w:p w14:paraId="700E4DE5">
      <w:pPr>
        <w:widowControl/>
        <w:spacing w:line="360" w:lineRule="auto"/>
        <w:ind w:left="420" w:left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 xml:space="preserve">智能涌现现象的表现 </w:t>
      </w:r>
    </w:p>
    <w:p w14:paraId="7BFB0D70">
      <w:pPr>
        <w:pStyle w:val="17"/>
        <w:widowControl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临界点的突然跃迁</w:t>
      </w:r>
    </w:p>
    <w:p w14:paraId="3FB53035">
      <w:pPr>
        <w:pStyle w:val="17"/>
        <w:widowControl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Few-shot Learning能力的涌现</w:t>
      </w:r>
    </w:p>
    <w:p w14:paraId="623E2C27">
      <w:pPr>
        <w:pStyle w:val="17"/>
        <w:widowControl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Chain-of-Thought推理的出现</w:t>
      </w:r>
    </w:p>
    <w:p w14:paraId="541DF1F2">
      <w:pPr>
        <w:widowControl/>
        <w:spacing w:line="360" w:lineRule="auto"/>
        <w:ind w:left="420" w:left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相变理论的类比解释</w:t>
      </w:r>
    </w:p>
    <w:p w14:paraId="79862004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子模块3.2：通用人工智能的渐进式逼近路径（15分钟）</w:t>
      </w:r>
    </w:p>
    <w:p w14:paraId="620FB5CC">
      <w:pPr>
        <w:pStyle w:val="17"/>
        <w:widowControl/>
        <w:numPr>
          <w:ilvl w:val="0"/>
          <w:numId w:val="20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大模型与AGI的联系与差距</w:t>
      </w:r>
    </w:p>
    <w:p w14:paraId="2F37089B">
      <w:pPr>
        <w:pStyle w:val="17"/>
        <w:widowControl/>
        <w:numPr>
          <w:ilvl w:val="0"/>
          <w:numId w:val="20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多任务统一建模的进展</w:t>
      </w:r>
    </w:p>
    <w:p w14:paraId="523EB117">
      <w:pPr>
        <w:pStyle w:val="17"/>
        <w:widowControl/>
        <w:numPr>
          <w:ilvl w:val="0"/>
          <w:numId w:val="20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上下文学习的泛化能力</w:t>
      </w:r>
    </w:p>
    <w:p w14:paraId="5C7FF879">
      <w:pPr>
        <w:pStyle w:val="17"/>
        <w:widowControl/>
        <w:numPr>
          <w:ilvl w:val="0"/>
          <w:numId w:val="20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当前技术局限性分析</w:t>
      </w:r>
    </w:p>
    <w:p w14:paraId="26C92A1F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模块四："技术-社会-治理"的三重挑战（35分钟）</w:t>
      </w:r>
    </w:p>
    <w:p w14:paraId="1FA56718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子模块4.1：技术层面的风险与挑战（12分钟）</w:t>
      </w:r>
    </w:p>
    <w:p w14:paraId="110CB521">
      <w:pPr>
        <w:pStyle w:val="17"/>
        <w:widowControl/>
        <w:numPr>
          <w:ilvl w:val="0"/>
          <w:numId w:val="21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算力需求与能耗问题</w:t>
      </w:r>
    </w:p>
    <w:p w14:paraId="2865D41D">
      <w:pPr>
        <w:pStyle w:val="17"/>
        <w:widowControl/>
        <w:numPr>
          <w:ilvl w:val="0"/>
          <w:numId w:val="21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"黑箱"特性与可解释性挑战</w:t>
      </w:r>
    </w:p>
    <w:p w14:paraId="180E798E">
      <w:pPr>
        <w:pStyle w:val="17"/>
        <w:widowControl/>
        <w:numPr>
          <w:ilvl w:val="0"/>
          <w:numId w:val="21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对抗攻击与安全风险</w:t>
      </w:r>
    </w:p>
    <w:p w14:paraId="457E3CEE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子模块4.2：社会层面的影响与变革（12分钟）</w:t>
      </w:r>
    </w:p>
    <w:p w14:paraId="3E90DF89">
      <w:pPr>
        <w:pStyle w:val="17"/>
        <w:widowControl/>
        <w:numPr>
          <w:ilvl w:val="0"/>
          <w:numId w:val="22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就业市场的结构性调整</w:t>
      </w:r>
    </w:p>
    <w:p w14:paraId="57966105">
      <w:pPr>
        <w:pStyle w:val="17"/>
        <w:widowControl/>
        <w:numPr>
          <w:ilvl w:val="0"/>
          <w:numId w:val="22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数字鸿沟的加剧风险</w:t>
      </w:r>
    </w:p>
    <w:p w14:paraId="50EA5445">
      <w:pPr>
        <w:pStyle w:val="17"/>
        <w:widowControl/>
        <w:numPr>
          <w:ilvl w:val="0"/>
          <w:numId w:val="22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信息生态的重构挑战</w:t>
      </w:r>
    </w:p>
    <w:p w14:paraId="69DC0FD9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Style w:val="14"/>
          <w:rFonts w:ascii="Times New Roman" w:hAnsi="Times New Roman" w:eastAsia="宋体"/>
        </w:rPr>
        <w:t>子模块4.3：治理层面的政策与规范（11分钟）</w:t>
      </w:r>
    </w:p>
    <w:p w14:paraId="4754BE11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全球大模型治理格局</w:t>
      </w:r>
    </w:p>
    <w:p w14:paraId="3A4F0791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技术标准与伦理规范</w:t>
      </w:r>
    </w:p>
    <w:p w14:paraId="724E3D2C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国际合作与竞争平衡</w:t>
      </w:r>
    </w:p>
    <w:p w14:paraId="7218AE6C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思政融入点</w:t>
      </w:r>
      <w:r>
        <w:rPr>
          <w:rFonts w:ascii="Times New Roman" w:hAnsi="Times New Roman" w:eastAsia="宋体"/>
        </w:rPr>
        <w:t>：通过分析中国在AI治理方面的制度创新，如《深度合成规定》等，增强学生的制度自信。</w:t>
      </w:r>
    </w:p>
    <w:p w14:paraId="3811CE12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</w:rPr>
      </w:pPr>
      <w:r>
        <w:rPr>
          <w:rFonts w:ascii="Times New Roman" w:hAnsi="Times New Roman"/>
        </w:rPr>
        <w:t>9.6 实践体验与总结（10分钟）</w:t>
      </w:r>
    </w:p>
    <w:p w14:paraId="7AC447DF">
      <w:pPr>
        <w:pStyle w:val="9"/>
        <w:widowControl/>
        <w:numPr>
          <w:ilvl w:val="0"/>
          <w:numId w:val="24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介绍"大模型技术赋能智慧教学设计"实训任务</w:t>
      </w:r>
    </w:p>
    <w:p w14:paraId="24DEEA81">
      <w:pPr>
        <w:pStyle w:val="9"/>
        <w:widowControl/>
        <w:numPr>
          <w:ilvl w:val="0"/>
          <w:numId w:val="24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演示基本的大模型交互技巧</w:t>
      </w:r>
    </w:p>
    <w:p w14:paraId="0D1D2F4E">
      <w:pPr>
        <w:pStyle w:val="9"/>
        <w:widowControl/>
        <w:numPr>
          <w:ilvl w:val="0"/>
          <w:numId w:val="24"/>
        </w:numPr>
        <w:spacing w:line="360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预告评价标准和作业要求</w:t>
      </w:r>
    </w:p>
    <w:p w14:paraId="7524C22B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</w:rPr>
      </w:pPr>
      <w:r>
        <w:rPr>
          <w:rFonts w:ascii="Times New Roman" w:hAnsi="Times New Roman"/>
        </w:rPr>
        <w:t>9.7 课后作业</w:t>
      </w:r>
    </w:p>
    <w:p w14:paraId="44EADF85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核心作业</w:t>
      </w:r>
      <w:r>
        <w:rPr>
          <w:rFonts w:ascii="Times New Roman" w:hAnsi="Times New Roman" w:eastAsia="宋体"/>
        </w:rPr>
        <w:t>：完成"大模型技术赋能智慧教学设计"主题实训</w:t>
      </w:r>
    </w:p>
    <w:p w14:paraId="2F2491F3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拓展阅读</w:t>
      </w:r>
      <w:r>
        <w:rPr>
          <w:rFonts w:ascii="Times New Roman" w:hAnsi="Times New Roman" w:eastAsia="宋体"/>
        </w:rPr>
        <w:t>：《大规模语言模型：从理论到实践》相关章节</w:t>
      </w:r>
    </w:p>
    <w:p w14:paraId="0760CCC4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思考作业</w:t>
      </w:r>
      <w:r>
        <w:rPr>
          <w:rFonts w:ascii="Times New Roman" w:hAnsi="Times New Roman" w:eastAsia="宋体"/>
        </w:rPr>
        <w:t>：撰写"大模型技术对教育变革的启示"（1000字）</w:t>
      </w:r>
    </w:p>
    <w:p w14:paraId="3001C17B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十、教学评价</w:t>
      </w:r>
    </w:p>
    <w:p w14:paraId="50164AE1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（一）评价维度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5"/>
        <w:gridCol w:w="2910"/>
        <w:gridCol w:w="2687"/>
      </w:tblGrid>
      <w:tr w14:paraId="2859C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5" w:type="dxa"/>
          </w:tcPr>
          <w:p w14:paraId="4D6777B4">
            <w:pPr>
              <w:widowControl/>
              <w:jc w:val="center"/>
            </w:pPr>
            <w:r>
              <w:rPr>
                <w:rStyle w:val="13"/>
                <w:rFonts w:ascii="Times New Roman" w:hAnsi="Times New Roman" w:eastAsia="宋体" w:cs="宋体"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2910" w:type="dxa"/>
          </w:tcPr>
          <w:p w14:paraId="00B89E6A">
            <w:pPr>
              <w:widowControl/>
              <w:jc w:val="center"/>
            </w:pPr>
            <w:r>
              <w:rPr>
                <w:rStyle w:val="13"/>
                <w:rFonts w:ascii="Times New Roman" w:hAnsi="Times New Roman" w:eastAsia="宋体" w:cs="宋体"/>
                <w:kern w:val="0"/>
                <w:sz w:val="24"/>
                <w:lang w:bidi="ar"/>
              </w:rPr>
              <w:t>具体指标</w:t>
            </w:r>
          </w:p>
        </w:tc>
        <w:tc>
          <w:tcPr>
            <w:tcW w:w="2687" w:type="dxa"/>
          </w:tcPr>
          <w:p w14:paraId="04494EF1">
            <w:pPr>
              <w:widowControl/>
              <w:jc w:val="center"/>
            </w:pPr>
            <w:r>
              <w:rPr>
                <w:rStyle w:val="13"/>
                <w:rFonts w:ascii="Times New Roman" w:hAnsi="Times New Roman" w:eastAsia="宋体" w:cs="宋体"/>
                <w:kern w:val="0"/>
                <w:sz w:val="24"/>
                <w:lang w:bidi="ar"/>
              </w:rPr>
              <w:t>权重</w:t>
            </w:r>
          </w:p>
        </w:tc>
      </w:tr>
      <w:tr w14:paraId="63BE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5" w:type="dxa"/>
          </w:tcPr>
          <w:p w14:paraId="1D8E64A8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概念理解</w:t>
            </w:r>
          </w:p>
        </w:tc>
        <w:tc>
          <w:tcPr>
            <w:tcW w:w="2910" w:type="dxa"/>
          </w:tcPr>
          <w:p w14:paraId="099A449B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大模型定义掌握、技术特征认知、范式差异理解</w:t>
            </w:r>
          </w:p>
        </w:tc>
        <w:tc>
          <w:tcPr>
            <w:tcW w:w="2687" w:type="dxa"/>
          </w:tcPr>
          <w:p w14:paraId="5304AE77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25%</w:t>
            </w:r>
          </w:p>
        </w:tc>
      </w:tr>
      <w:tr w14:paraId="0AAEA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5" w:type="dxa"/>
          </w:tcPr>
          <w:p w14:paraId="131E1E0E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机制分析</w:t>
            </w:r>
          </w:p>
        </w:tc>
        <w:tc>
          <w:tcPr>
            <w:tcW w:w="2910" w:type="dxa"/>
          </w:tcPr>
          <w:p w14:paraId="6B48463C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双阶段训练理解、多模态技术认知、涌现现象把握</w:t>
            </w:r>
          </w:p>
        </w:tc>
        <w:tc>
          <w:tcPr>
            <w:tcW w:w="2687" w:type="dxa"/>
          </w:tcPr>
          <w:p w14:paraId="0BABA00B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30%</w:t>
            </w:r>
          </w:p>
        </w:tc>
      </w:tr>
      <w:tr w14:paraId="13234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5" w:type="dxa"/>
          </w:tcPr>
          <w:p w14:paraId="35AEB5A6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实践应用</w:t>
            </w:r>
          </w:p>
        </w:tc>
        <w:tc>
          <w:tcPr>
            <w:tcW w:w="2910" w:type="dxa"/>
          </w:tcPr>
          <w:p w14:paraId="1F89DCF4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大模型工具使用、教学设计能力、创新应用思考</w:t>
            </w:r>
          </w:p>
        </w:tc>
        <w:tc>
          <w:tcPr>
            <w:tcW w:w="2687" w:type="dxa"/>
          </w:tcPr>
          <w:p w14:paraId="2A851597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30%</w:t>
            </w:r>
          </w:p>
        </w:tc>
      </w:tr>
      <w:tr w14:paraId="6130C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5" w:type="dxa"/>
          </w:tcPr>
          <w:p w14:paraId="6C0008A7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批判思维</w:t>
            </w:r>
          </w:p>
        </w:tc>
        <w:tc>
          <w:tcPr>
            <w:tcW w:w="2910" w:type="dxa"/>
          </w:tcPr>
          <w:p w14:paraId="48243360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技术优势分析、局限性认识、社会影响判断</w:t>
            </w:r>
          </w:p>
        </w:tc>
        <w:tc>
          <w:tcPr>
            <w:tcW w:w="2687" w:type="dxa"/>
          </w:tcPr>
          <w:p w14:paraId="32F609BE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15%</w:t>
            </w:r>
          </w:p>
        </w:tc>
      </w:tr>
    </w:tbl>
    <w:p w14:paraId="09E00173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（二）评价方法</w:t>
      </w:r>
    </w:p>
    <w:p w14:paraId="53B9FB0B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过程性评价</w:t>
      </w:r>
      <w:r>
        <w:rPr>
          <w:rFonts w:ascii="Times New Roman" w:hAnsi="Times New Roman" w:eastAsia="宋体"/>
        </w:rPr>
        <w:t>：课堂讨论参与度、案例分析质量</w:t>
      </w:r>
    </w:p>
    <w:p w14:paraId="6DE3C63E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实践评价</w:t>
      </w:r>
      <w:r>
        <w:rPr>
          <w:rFonts w:ascii="Times New Roman" w:hAnsi="Times New Roman" w:eastAsia="宋体"/>
        </w:rPr>
        <w:t>：大模型交互操作和教学设计方案</w:t>
      </w:r>
    </w:p>
    <w:p w14:paraId="547B8B81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理解评价</w:t>
      </w:r>
      <w:r>
        <w:rPr>
          <w:rFonts w:ascii="Times New Roman" w:hAnsi="Times New Roman" w:eastAsia="宋体"/>
        </w:rPr>
        <w:t>：技术概念掌握和现象解释能力</w:t>
      </w:r>
    </w:p>
    <w:p w14:paraId="7A378619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/>
        </w:rPr>
      </w:pPr>
      <w:r>
        <w:rPr>
          <w:rStyle w:val="13"/>
          <w:rFonts w:ascii="Times New Roman" w:hAnsi="Times New Roman" w:eastAsia="宋体"/>
        </w:rPr>
        <w:t>思辨评价</w:t>
      </w:r>
      <w:r>
        <w:rPr>
          <w:rFonts w:ascii="Times New Roman" w:hAnsi="Times New Roman" w:eastAsia="宋体"/>
        </w:rPr>
        <w:t>：对技术社会影响的深度思考</w:t>
      </w:r>
    </w:p>
    <w:p w14:paraId="25723818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（三）评价标准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3"/>
        <w:gridCol w:w="6219"/>
      </w:tblGrid>
      <w:tr w14:paraId="2410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3" w:type="dxa"/>
          </w:tcPr>
          <w:p w14:paraId="2D3CA2CC">
            <w:pPr>
              <w:widowControl/>
              <w:jc w:val="center"/>
            </w:pPr>
            <w:r>
              <w:rPr>
                <w:rStyle w:val="13"/>
                <w:rFonts w:ascii="Times New Roman" w:hAnsi="Times New Roman" w:eastAsia="宋体" w:cs="宋体"/>
                <w:kern w:val="0"/>
                <w:sz w:val="24"/>
                <w:lang w:bidi="ar"/>
              </w:rPr>
              <w:t>等级</w:t>
            </w:r>
          </w:p>
        </w:tc>
        <w:tc>
          <w:tcPr>
            <w:tcW w:w="6219" w:type="dxa"/>
          </w:tcPr>
          <w:p w14:paraId="372E5901">
            <w:pPr>
              <w:widowControl/>
              <w:jc w:val="center"/>
            </w:pPr>
            <w:r>
              <w:rPr>
                <w:rStyle w:val="13"/>
                <w:rFonts w:ascii="Times New Roman" w:hAnsi="Times New Roman" w:eastAsia="宋体" w:cs="宋体"/>
                <w:kern w:val="0"/>
                <w:sz w:val="24"/>
                <w:lang w:bidi="ar"/>
              </w:rPr>
              <w:t>标准</w:t>
            </w:r>
          </w:p>
        </w:tc>
      </w:tr>
      <w:tr w14:paraId="7BA5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3" w:type="dxa"/>
          </w:tcPr>
          <w:p w14:paraId="503B79EA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优秀（90-100分）</w:t>
            </w:r>
          </w:p>
        </w:tc>
        <w:tc>
          <w:tcPr>
            <w:tcW w:w="6219" w:type="dxa"/>
          </w:tcPr>
          <w:p w14:paraId="128273C4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深刻理解大模型技术机制，熟练运用工具完成教学设计，能够批判性思考技术影响</w:t>
            </w:r>
          </w:p>
        </w:tc>
      </w:tr>
      <w:tr w14:paraId="077B6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3" w:type="dxa"/>
          </w:tcPr>
          <w:p w14:paraId="529EE05E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良好（80-89分）</w:t>
            </w:r>
          </w:p>
        </w:tc>
        <w:tc>
          <w:tcPr>
            <w:tcW w:w="6219" w:type="dxa"/>
          </w:tcPr>
          <w:p w14:paraId="06C3F0BC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基本理解核心技术概念，能够完成实践任务，有一定的应用创新思考</w:t>
            </w:r>
          </w:p>
        </w:tc>
      </w:tr>
      <w:tr w14:paraId="6C48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3" w:type="dxa"/>
          </w:tcPr>
          <w:p w14:paraId="1D8F0200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中等（70-79分）</w:t>
            </w:r>
          </w:p>
        </w:tc>
        <w:tc>
          <w:tcPr>
            <w:tcW w:w="6219" w:type="dxa"/>
          </w:tcPr>
          <w:p w14:paraId="757DFD63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概念理解基本正确，实践操作需要指导，思考深度有待提升</w:t>
            </w:r>
          </w:p>
        </w:tc>
      </w:tr>
      <w:tr w14:paraId="73D2E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3" w:type="dxa"/>
          </w:tcPr>
          <w:p w14:paraId="105B5DF8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需改进（60-69分）</w:t>
            </w:r>
          </w:p>
        </w:tc>
        <w:tc>
          <w:tcPr>
            <w:tcW w:w="6219" w:type="dxa"/>
          </w:tcPr>
          <w:p w14:paraId="58D0CD49">
            <w:pPr>
              <w:widowControl/>
              <w:jc w:val="left"/>
            </w:pPr>
            <w:r>
              <w:rPr>
                <w:rFonts w:ascii="Times New Roman" w:hAnsi="Times New Roman" w:eastAsia="宋体" w:cs="宋体"/>
                <w:kern w:val="0"/>
                <w:sz w:val="24"/>
                <w:lang w:bidi="ar"/>
              </w:rPr>
              <w:t>理解不够深入，操作困难，缺乏系统性思考</w:t>
            </w:r>
          </w:p>
        </w:tc>
      </w:tr>
    </w:tbl>
    <w:p w14:paraId="56C669FA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十一、教学反思</w:t>
      </w:r>
    </w:p>
    <w:p w14:paraId="0DF84F90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（一）预期反思点</w:t>
      </w:r>
    </w:p>
    <w:p w14:paraId="0BADEF79">
      <w:pPr>
        <w:widowControl/>
        <w:numPr>
          <w:ilvl w:val="0"/>
          <w:numId w:val="25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技术理解深度</w:t>
      </w:r>
      <w:r>
        <w:rPr>
          <w:rFonts w:ascii="Times New Roman" w:hAnsi="Times New Roman" w:eastAsia="宋体"/>
          <w:sz w:val="24"/>
        </w:rPr>
        <w:t>：学生对大模型复杂机制的理解是否达到预期？</w:t>
      </w:r>
    </w:p>
    <w:p w14:paraId="2146237D">
      <w:pPr>
        <w:widowControl/>
        <w:numPr>
          <w:ilvl w:val="0"/>
          <w:numId w:val="25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实践应用效果</w:t>
      </w:r>
      <w:r>
        <w:rPr>
          <w:rFonts w:ascii="Times New Roman" w:hAnsi="Times New Roman" w:eastAsia="宋体"/>
          <w:sz w:val="24"/>
        </w:rPr>
        <w:t>：大模型工具的教学设计实训是否有效？</w:t>
      </w:r>
    </w:p>
    <w:p w14:paraId="75A46DDF">
      <w:pPr>
        <w:widowControl/>
        <w:numPr>
          <w:ilvl w:val="0"/>
          <w:numId w:val="25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批判思维培养</w:t>
      </w:r>
      <w:r>
        <w:rPr>
          <w:rFonts w:ascii="Times New Roman" w:hAnsi="Times New Roman" w:eastAsia="宋体"/>
          <w:sz w:val="24"/>
        </w:rPr>
        <w:t>：学生能否辩证看待技术的机遇与挑战？</w:t>
      </w:r>
    </w:p>
    <w:p w14:paraId="1F0E4A1A">
      <w:pPr>
        <w:widowControl/>
        <w:numPr>
          <w:ilvl w:val="0"/>
          <w:numId w:val="25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思政融入效果</w:t>
      </w:r>
      <w:r>
        <w:rPr>
          <w:rFonts w:ascii="Times New Roman" w:hAnsi="Times New Roman" w:eastAsia="宋体"/>
          <w:sz w:val="24"/>
        </w:rPr>
        <w:t>：技术自信和制度自信的培养是否自然？</w:t>
      </w:r>
    </w:p>
    <w:p w14:paraId="303CA88B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（二）持续改进计划</w:t>
      </w:r>
    </w:p>
    <w:p w14:paraId="0726C6F2">
      <w:pPr>
        <w:widowControl/>
        <w:numPr>
          <w:ilvl w:val="0"/>
          <w:numId w:val="26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案例更新</w:t>
      </w:r>
      <w:r>
        <w:rPr>
          <w:rFonts w:ascii="Times New Roman" w:hAnsi="Times New Roman" w:eastAsia="宋体"/>
          <w:sz w:val="24"/>
        </w:rPr>
        <w:t>：定期更新最新的大模型发展动态和应用案例</w:t>
      </w:r>
    </w:p>
    <w:p w14:paraId="0460A57B">
      <w:pPr>
        <w:widowControl/>
        <w:numPr>
          <w:ilvl w:val="0"/>
          <w:numId w:val="26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实践深化</w:t>
      </w:r>
      <w:r>
        <w:rPr>
          <w:rFonts w:ascii="Times New Roman" w:hAnsi="Times New Roman" w:eastAsia="宋体"/>
          <w:sz w:val="24"/>
        </w:rPr>
        <w:t>：探索更多创新性的大模型教学应用实验</w:t>
      </w:r>
    </w:p>
    <w:p w14:paraId="14C2ECB1">
      <w:pPr>
        <w:widowControl/>
        <w:numPr>
          <w:ilvl w:val="0"/>
          <w:numId w:val="26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理论简化</w:t>
      </w:r>
      <w:r>
        <w:rPr>
          <w:rFonts w:ascii="Times New Roman" w:hAnsi="Times New Roman" w:eastAsia="宋体"/>
          <w:sz w:val="24"/>
        </w:rPr>
        <w:t>：进一步优化复杂技术概念的教学表达方式</w:t>
      </w:r>
    </w:p>
    <w:p w14:paraId="3E53EE3D">
      <w:pPr>
        <w:widowControl/>
        <w:numPr>
          <w:ilvl w:val="0"/>
          <w:numId w:val="26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评价完善</w:t>
      </w:r>
      <w:r>
        <w:rPr>
          <w:rFonts w:ascii="Times New Roman" w:hAnsi="Times New Roman" w:eastAsia="宋体"/>
          <w:sz w:val="24"/>
        </w:rPr>
        <w:t>：优化多元评价体系，更好反映学生能力发展</w:t>
      </w:r>
    </w:p>
    <w:p w14:paraId="668F1DA1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（三）教学创新点</w:t>
      </w:r>
    </w:p>
    <w:p w14:paraId="62D33C9D">
      <w:pPr>
        <w:widowControl/>
        <w:numPr>
          <w:ilvl w:val="0"/>
          <w:numId w:val="27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类比教学</w:t>
      </w:r>
      <w:r>
        <w:rPr>
          <w:rFonts w:ascii="Times New Roman" w:hAnsi="Times New Roman" w:eastAsia="宋体"/>
          <w:sz w:val="24"/>
        </w:rPr>
        <w:t>：通过"专科医生"vs"全科医生"形象解释技术跃迁</w:t>
      </w:r>
    </w:p>
    <w:p w14:paraId="24C29B54">
      <w:pPr>
        <w:widowControl/>
        <w:numPr>
          <w:ilvl w:val="0"/>
          <w:numId w:val="27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案例震撼</w:t>
      </w:r>
      <w:r>
        <w:rPr>
          <w:rFonts w:ascii="Times New Roman" w:hAnsi="Times New Roman" w:eastAsia="宋体"/>
          <w:sz w:val="24"/>
        </w:rPr>
        <w:t>：用研究生级别问题展示大模型的惊人能力</w:t>
      </w:r>
    </w:p>
    <w:p w14:paraId="78D4BCBF">
      <w:pPr>
        <w:widowControl/>
        <w:numPr>
          <w:ilvl w:val="0"/>
          <w:numId w:val="27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实践导向</w:t>
      </w:r>
      <w:r>
        <w:rPr>
          <w:rFonts w:ascii="Times New Roman" w:hAnsi="Times New Roman" w:eastAsia="宋体"/>
          <w:sz w:val="24"/>
        </w:rPr>
        <w:t>：结合教学设计实训加深技术理解和应用能力</w:t>
      </w:r>
    </w:p>
    <w:p w14:paraId="38FAA906">
      <w:pPr>
        <w:widowControl/>
        <w:numPr>
          <w:ilvl w:val="0"/>
          <w:numId w:val="27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批判思维</w:t>
      </w:r>
      <w:r>
        <w:rPr>
          <w:rFonts w:ascii="Times New Roman" w:hAnsi="Times New Roman" w:eastAsia="宋体"/>
          <w:sz w:val="24"/>
        </w:rPr>
        <w:t>：引导学生辩证看待技术发展的双刃剑效应</w:t>
      </w:r>
    </w:p>
    <w:p w14:paraId="66E3D163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（四）前沿跟踪保障</w:t>
      </w:r>
    </w:p>
    <w:p w14:paraId="1D2E1B2D">
      <w:pPr>
        <w:widowControl/>
        <w:numPr>
          <w:ilvl w:val="0"/>
          <w:numId w:val="28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技术动态</w:t>
      </w:r>
      <w:r>
        <w:rPr>
          <w:rFonts w:ascii="Times New Roman" w:hAnsi="Times New Roman" w:eastAsia="宋体"/>
          <w:sz w:val="24"/>
        </w:rPr>
        <w:t>：持续关注大模型技术发展和突破性进展</w:t>
      </w:r>
    </w:p>
    <w:p w14:paraId="65432469">
      <w:pPr>
        <w:widowControl/>
        <w:numPr>
          <w:ilvl w:val="0"/>
          <w:numId w:val="28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应用案例</w:t>
      </w:r>
      <w:r>
        <w:rPr>
          <w:rFonts w:ascii="Times New Roman" w:hAnsi="Times New Roman" w:eastAsia="宋体"/>
          <w:sz w:val="24"/>
        </w:rPr>
        <w:t>：收集教育领域大模型应用的最新实践</w:t>
      </w:r>
    </w:p>
    <w:p w14:paraId="7154EFC6">
      <w:pPr>
        <w:widowControl/>
        <w:numPr>
          <w:ilvl w:val="0"/>
          <w:numId w:val="28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政策法规</w:t>
      </w:r>
      <w:r>
        <w:rPr>
          <w:rFonts w:ascii="Times New Roman" w:hAnsi="Times New Roman" w:eastAsia="宋体"/>
          <w:sz w:val="24"/>
        </w:rPr>
        <w:t>：跟踪AI治理政策的发展变化</w:t>
      </w:r>
    </w:p>
    <w:p w14:paraId="0B35D0C4">
      <w:pPr>
        <w:widowControl/>
        <w:numPr>
          <w:ilvl w:val="0"/>
          <w:numId w:val="28"/>
        </w:numPr>
        <w:spacing w:line="360" w:lineRule="auto"/>
        <w:ind w:left="0" w:firstLine="482" w:firstLineChars="200"/>
        <w:rPr>
          <w:rFonts w:ascii="Times New Roman" w:hAnsi="Times New Roman" w:eastAsia="宋体"/>
          <w:sz w:val="24"/>
        </w:rPr>
      </w:pPr>
      <w:r>
        <w:rPr>
          <w:rStyle w:val="13"/>
          <w:rFonts w:ascii="Times New Roman" w:hAnsi="Times New Roman" w:eastAsia="宋体"/>
          <w:sz w:val="24"/>
        </w:rPr>
        <w:t>学术研究</w:t>
      </w:r>
      <w:r>
        <w:rPr>
          <w:rFonts w:ascii="Times New Roman" w:hAnsi="Times New Roman" w:eastAsia="宋体"/>
          <w:sz w:val="24"/>
        </w:rPr>
        <w:t>：关注相关领域的前沿学术成果和争议讨论</w:t>
      </w:r>
    </w:p>
    <w:p w14:paraId="3C8A4C72">
      <w:pPr>
        <w:spacing w:line="360" w:lineRule="auto"/>
        <w:ind w:firstLine="480" w:firstLineChars="200"/>
        <w:rPr>
          <w:rFonts w:ascii="Times New Roman" w:hAnsi="Times New Roman" w:eastAsia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459CF7"/>
    <w:multiLevelType w:val="multilevel"/>
    <w:tmpl w:val="8A459C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96C53D7"/>
    <w:multiLevelType w:val="multilevel"/>
    <w:tmpl w:val="996C53D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A3167FA4"/>
    <w:multiLevelType w:val="multilevel"/>
    <w:tmpl w:val="A3167FA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B056240E"/>
    <w:multiLevelType w:val="multilevel"/>
    <w:tmpl w:val="B056240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F51466C"/>
    <w:multiLevelType w:val="multilevel"/>
    <w:tmpl w:val="EF51466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F84D5B1A"/>
    <w:multiLevelType w:val="multilevel"/>
    <w:tmpl w:val="F84D5B1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009708E4"/>
    <w:multiLevelType w:val="multilevel"/>
    <w:tmpl w:val="009708E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0B1C6E8D"/>
    <w:multiLevelType w:val="multilevel"/>
    <w:tmpl w:val="0B1C6E8D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8">
    <w:nsid w:val="267F058F"/>
    <w:multiLevelType w:val="multilevel"/>
    <w:tmpl w:val="267F058F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9">
    <w:nsid w:val="380C601C"/>
    <w:multiLevelType w:val="multilevel"/>
    <w:tmpl w:val="380C601C"/>
    <w:lvl w:ilvl="0" w:tentative="0">
      <w:start w:val="1"/>
      <w:numFmt w:val="bullet"/>
      <w:lvlText w:val=""/>
      <w:lvlJc w:val="left"/>
      <w:pPr>
        <w:ind w:left="80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2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40"/>
      </w:pPr>
      <w:rPr>
        <w:rFonts w:hint="default" w:ascii="Wingdings" w:hAnsi="Wingdings"/>
      </w:rPr>
    </w:lvl>
  </w:abstractNum>
  <w:abstractNum w:abstractNumId="10">
    <w:nsid w:val="3A046DAC"/>
    <w:multiLevelType w:val="multilevel"/>
    <w:tmpl w:val="3A046DAC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11">
    <w:nsid w:val="3A35D4C8"/>
    <w:multiLevelType w:val="multilevel"/>
    <w:tmpl w:val="3A35D4C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3C153FC1"/>
    <w:multiLevelType w:val="multilevel"/>
    <w:tmpl w:val="3C153FC1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13">
    <w:nsid w:val="3EBC6CAD"/>
    <w:multiLevelType w:val="multilevel"/>
    <w:tmpl w:val="3EBC6CAD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14">
    <w:nsid w:val="414B1D29"/>
    <w:multiLevelType w:val="multilevel"/>
    <w:tmpl w:val="414B1D29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15">
    <w:nsid w:val="418F5119"/>
    <w:multiLevelType w:val="multilevel"/>
    <w:tmpl w:val="418F5119"/>
    <w:lvl w:ilvl="0" w:tentative="0">
      <w:start w:val="1"/>
      <w:numFmt w:val="bullet"/>
      <w:lvlText w:val=""/>
      <w:lvlJc w:val="left"/>
      <w:pPr>
        <w:ind w:left="149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93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7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81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25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9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13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7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10" w:hanging="440"/>
      </w:pPr>
      <w:rPr>
        <w:rFonts w:hint="default" w:ascii="Wingdings" w:hAnsi="Wingdings"/>
      </w:rPr>
    </w:lvl>
  </w:abstractNum>
  <w:abstractNum w:abstractNumId="16">
    <w:nsid w:val="41B20BCF"/>
    <w:multiLevelType w:val="multilevel"/>
    <w:tmpl w:val="41B20BCF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17">
    <w:nsid w:val="464B6870"/>
    <w:multiLevelType w:val="multilevel"/>
    <w:tmpl w:val="464B6870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18">
    <w:nsid w:val="486A88DA"/>
    <w:multiLevelType w:val="multilevel"/>
    <w:tmpl w:val="486A88D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9">
    <w:nsid w:val="4D1275D6"/>
    <w:multiLevelType w:val="multilevel"/>
    <w:tmpl w:val="4D1275D6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20">
    <w:nsid w:val="55881182"/>
    <w:multiLevelType w:val="multilevel"/>
    <w:tmpl w:val="55881182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21">
    <w:nsid w:val="56A1FD85"/>
    <w:multiLevelType w:val="multilevel"/>
    <w:tmpl w:val="56A1FD8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2">
    <w:nsid w:val="578129B9"/>
    <w:multiLevelType w:val="multilevel"/>
    <w:tmpl w:val="578129B9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23">
    <w:nsid w:val="6E742625"/>
    <w:multiLevelType w:val="multilevel"/>
    <w:tmpl w:val="6E742625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24">
    <w:nsid w:val="6F6720E8"/>
    <w:multiLevelType w:val="multilevel"/>
    <w:tmpl w:val="6F6720E8"/>
    <w:lvl w:ilvl="0" w:tentative="0">
      <w:start w:val="1"/>
      <w:numFmt w:val="bullet"/>
      <w:lvlText w:val=""/>
      <w:lvlJc w:val="left"/>
      <w:pPr>
        <w:ind w:left="149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93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7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81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25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9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13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7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10" w:hanging="440"/>
      </w:pPr>
      <w:rPr>
        <w:rFonts w:hint="default" w:ascii="Wingdings" w:hAnsi="Wingdings"/>
      </w:rPr>
    </w:lvl>
  </w:abstractNum>
  <w:abstractNum w:abstractNumId="25">
    <w:nsid w:val="74152392"/>
    <w:multiLevelType w:val="multilevel"/>
    <w:tmpl w:val="74152392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26">
    <w:nsid w:val="77B77F94"/>
    <w:multiLevelType w:val="multilevel"/>
    <w:tmpl w:val="77B77F94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27">
    <w:nsid w:val="7F703AC3"/>
    <w:multiLevelType w:val="multilevel"/>
    <w:tmpl w:val="7F703AC3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2"/>
  </w:num>
  <w:num w:numId="5">
    <w:abstractNumId w:val="18"/>
  </w:num>
  <w:num w:numId="6">
    <w:abstractNumId w:val="4"/>
  </w:num>
  <w:num w:numId="7">
    <w:abstractNumId w:val="13"/>
  </w:num>
  <w:num w:numId="8">
    <w:abstractNumId w:val="10"/>
  </w:num>
  <w:num w:numId="9">
    <w:abstractNumId w:val="9"/>
  </w:num>
  <w:num w:numId="10">
    <w:abstractNumId w:val="16"/>
  </w:num>
  <w:num w:numId="11">
    <w:abstractNumId w:val="26"/>
  </w:num>
  <w:num w:numId="12">
    <w:abstractNumId w:val="19"/>
  </w:num>
  <w:num w:numId="13">
    <w:abstractNumId w:val="25"/>
  </w:num>
  <w:num w:numId="14">
    <w:abstractNumId w:val="20"/>
  </w:num>
  <w:num w:numId="15">
    <w:abstractNumId w:val="22"/>
  </w:num>
  <w:num w:numId="16">
    <w:abstractNumId w:val="14"/>
  </w:num>
  <w:num w:numId="17">
    <w:abstractNumId w:val="27"/>
  </w:num>
  <w:num w:numId="18">
    <w:abstractNumId w:val="24"/>
  </w:num>
  <w:num w:numId="19">
    <w:abstractNumId w:val="8"/>
  </w:num>
  <w:num w:numId="20">
    <w:abstractNumId w:val="15"/>
  </w:num>
  <w:num w:numId="21">
    <w:abstractNumId w:val="12"/>
  </w:num>
  <w:num w:numId="22">
    <w:abstractNumId w:val="7"/>
  </w:num>
  <w:num w:numId="23">
    <w:abstractNumId w:val="23"/>
  </w:num>
  <w:num w:numId="24">
    <w:abstractNumId w:val="17"/>
  </w:num>
  <w:num w:numId="25">
    <w:abstractNumId w:val="6"/>
  </w:num>
  <w:num w:numId="26">
    <w:abstractNumId w:val="21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4A"/>
    <w:rsid w:val="0001465A"/>
    <w:rsid w:val="006D2E79"/>
    <w:rsid w:val="00B01D31"/>
    <w:rsid w:val="00B1706A"/>
    <w:rsid w:val="00C00C4A"/>
    <w:rsid w:val="02B22634"/>
    <w:rsid w:val="02ED1C6E"/>
    <w:rsid w:val="040A0483"/>
    <w:rsid w:val="04581455"/>
    <w:rsid w:val="05980631"/>
    <w:rsid w:val="067803E8"/>
    <w:rsid w:val="096F1BEB"/>
    <w:rsid w:val="0DBF6B12"/>
    <w:rsid w:val="17566A97"/>
    <w:rsid w:val="183B617E"/>
    <w:rsid w:val="1C922335"/>
    <w:rsid w:val="1C9C48FB"/>
    <w:rsid w:val="217A6FCE"/>
    <w:rsid w:val="250F3981"/>
    <w:rsid w:val="26DF4957"/>
    <w:rsid w:val="26E72B21"/>
    <w:rsid w:val="2750238F"/>
    <w:rsid w:val="2ACE6739"/>
    <w:rsid w:val="2C0A2C31"/>
    <w:rsid w:val="2F254ECF"/>
    <w:rsid w:val="34B61F58"/>
    <w:rsid w:val="36EF08EE"/>
    <w:rsid w:val="389B393F"/>
    <w:rsid w:val="400A1A7C"/>
    <w:rsid w:val="40E13EB9"/>
    <w:rsid w:val="42350915"/>
    <w:rsid w:val="43F45F04"/>
    <w:rsid w:val="476E221E"/>
    <w:rsid w:val="482E2583"/>
    <w:rsid w:val="49177011"/>
    <w:rsid w:val="4B7A3EA1"/>
    <w:rsid w:val="4DAC11B5"/>
    <w:rsid w:val="562E1696"/>
    <w:rsid w:val="5F862DA2"/>
    <w:rsid w:val="64725610"/>
    <w:rsid w:val="6B5D492B"/>
    <w:rsid w:val="70D20EE0"/>
    <w:rsid w:val="70D70CB1"/>
    <w:rsid w:val="743F0CF2"/>
    <w:rsid w:val="75A444E6"/>
    <w:rsid w:val="762D45B4"/>
    <w:rsid w:val="784C76F2"/>
    <w:rsid w:val="79811468"/>
    <w:rsid w:val="7D8A1BBB"/>
    <w:rsid w:val="7E33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customStyle="1" w:styleId="15">
    <w:name w:val="页眉 字符"/>
    <w:basedOn w:val="12"/>
    <w:link w:val="7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2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3712</Words>
  <Characters>3916</Characters>
  <Lines>134</Lines>
  <Paragraphs>231</Paragraphs>
  <TotalTime>0</TotalTime>
  <ScaleCrop>false</ScaleCrop>
  <LinksUpToDate>false</LinksUpToDate>
  <CharactersWithSpaces>3932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2025-08-11T14:50:00Z</dcterms:created>
  <dc:creator>Administrator</dc:creator>
  <cp:lastModifiedBy>wiz.</cp:lastModifiedBy>
  <dcterms:modified xsi:type="dcterms:W3CDTF">2025-12-07T15:06:43Z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eyJoZGlkIjoiMzUyNDNiMTkxZmJhZjIxMjhlMTI3N2JjMTZjZGMxMzciLCJ1c2VySWQiOiI0Mjc0MDQyMTMifQ==</vt:lpwstr>
  </property>
  <property fmtid="{D5CDD505-2E9C-101B-9397-08002B2CF9AE}" pid="4" name="ICV">
    <vt:lpwstr>68EECBDA46B942C28EC2D33E5F992E38_12</vt:lpwstr>
  </property>
</Properties>
</file>